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>СОВЕТ НАРОДНЫХ ДЕПУТАТОВ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РЕШЕНИЕ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74" w:right="0"/>
        <w:jc w:val="center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tbl>
      <w:tblPr>
        <w:jc w:val="left"/>
        <w:tblInd w:type="dxa" w:w="-731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"/>
          <w:bottom w:type="dxa" w:w="0"/>
          <w:right w:type="dxa" w:w="10"/>
        </w:tblCellMar>
      </w:tblPr>
      <w:tblGrid>
        <w:gridCol w:w="5308"/>
        <w:gridCol w:w="2520"/>
        <w:gridCol w:w="2390"/>
      </w:tblGrid>
      <w:tr>
        <w:trPr>
          <w:cantSplit w:val="false"/>
        </w:trPr>
        <w:tc>
          <w:tcPr>
            <w:tcW w:type="dxa" w:w="530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2418" w:val="left"/>
                <w:tab w:leader="none" w:pos="4719" w:val="left"/>
                <w:tab w:leader="none" w:pos="7002" w:val="left"/>
              </w:tabs>
              <w:spacing w:after="0" w:before="60" w:line="480" w:lineRule="auto"/>
              <w:ind w:hanging="0" w:left="-3" w:right="-783"/>
              <w:contextualSpacing w:val="false"/>
              <w:jc w:val="both"/>
              <w:rPr>
                <w:rFonts w:cs="Times New Roman"/>
                <w:color w:val="000000"/>
                <w:sz w:val="28"/>
                <w:lang w:bidi="en-US" w:eastAsia="en-US"/>
              </w:rPr>
            </w:pPr>
            <w:r>
              <w:rPr>
                <w:rFonts w:cs="Times New Roman"/>
                <w:color w:val="000000"/>
                <w:sz w:val="28"/>
                <w:lang w:bidi="en-US" w:eastAsia="en-US"/>
              </w:rPr>
              <w:t>30.04.2021</w:t>
            </w:r>
          </w:p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tabs>
                <w:tab w:leader="none" w:pos="2424" w:val="left"/>
                <w:tab w:leader="none" w:pos="7008" w:val="left"/>
              </w:tabs>
              <w:spacing w:after="0" w:before="60" w:line="276" w:lineRule="auto"/>
              <w:ind w:firstLine="560" w:left="0" w:right="0"/>
              <w:contextualSpacing w:val="false"/>
              <w:jc w:val="right"/>
              <w:rPr>
                <w:rFonts w:cs="Times New Roman" w:eastAsia="Times New Roman"/>
                <w:color w:val="000000"/>
                <w:sz w:val="28"/>
                <w:lang w:bidi="en-US" w:eastAsia="en-US" w:val="en-US"/>
              </w:rPr>
            </w:pPr>
            <w:r>
              <w:rPr>
                <w:rFonts w:cs="Times New Roman" w:eastAsia="Times New Roman"/>
                <w:color w:val="000000"/>
                <w:sz w:val="28"/>
                <w:lang w:bidi="en-US" w:eastAsia="en-US" w:val="en-US"/>
              </w:rPr>
              <w:t xml:space="preserve">                                                        </w:t>
            </w:r>
          </w:p>
        </w:tc>
        <w:tc>
          <w:tcPr>
            <w:tcW w:type="dxa" w:w="239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60" w:line="276" w:lineRule="auto"/>
              <w:ind w:firstLine="34" w:left="0" w:right="0"/>
              <w:contextualSpacing w:val="false"/>
              <w:jc w:val="right"/>
              <w:rPr>
                <w:rFonts w:cs="Times New Roman" w:eastAsia="Times New Roman"/>
                <w:color w:val="000000"/>
                <w:sz w:val="28"/>
                <w:lang w:bidi="en-US" w:eastAsia="en-US" w:val="ru-RU"/>
              </w:rPr>
            </w:pPr>
            <w:r>
              <w:rPr>
                <w:rFonts w:cs="Times New Roman" w:eastAsia="Times New Roman"/>
                <w:color w:val="000000"/>
                <w:sz w:val="28"/>
                <w:lang w:bidi="en-US" w:eastAsia="en-US" w:val="en-US"/>
              </w:rPr>
              <w:t>№</w:t>
            </w:r>
            <w:r>
              <w:rPr>
                <w:rFonts w:cs="Times New Roman" w:eastAsia="Times New Roman"/>
                <w:color w:val="000000"/>
                <w:sz w:val="28"/>
                <w:lang w:bidi="en-US" w:eastAsia="en-US" w:val="en-US"/>
              </w:rPr>
              <w:t>3</w:t>
            </w:r>
            <w:r>
              <w:rPr>
                <w:rFonts w:cs="Times New Roman" w:eastAsia="Times New Roman"/>
                <w:color w:val="000000"/>
                <w:sz w:val="28"/>
                <w:lang w:bidi="en-US" w:eastAsia="en-US" w:val="ru-RU"/>
              </w:rPr>
              <w:t>7</w:t>
            </w:r>
          </w:p>
        </w:tc>
      </w:tr>
    </w:tbl>
    <w:p>
      <w:pPr>
        <w:pStyle w:val="style0"/>
        <w:widowControl/>
        <w:tabs>
          <w:tab w:leader="none" w:pos="4323" w:val="center"/>
        </w:tabs>
        <w:suppressAutoHyphens w:val="false"/>
        <w:ind w:hanging="0" w:left="-709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    Порядка</w:t>
        <w:tab/>
        <w:t xml:space="preserve"> планирования </w:t>
      </w:r>
    </w:p>
    <w:p>
      <w:pPr>
        <w:pStyle w:val="style0"/>
        <w:widowControl/>
        <w:tabs>
          <w:tab w:leader="none" w:pos="4323" w:val="center"/>
        </w:tabs>
        <w:suppressAutoHyphens w:val="false"/>
        <w:ind w:hanging="0" w:left="-709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    муниципального имущества</w:t>
      </w:r>
    </w:p>
    <w:p>
      <w:pPr>
        <w:pStyle w:val="style0"/>
        <w:widowControl/>
        <w:suppressAutoHyphens w:val="false"/>
        <w:ind w:hanging="0" w:left="-709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посёлок Добря-</w:t>
      </w:r>
    </w:p>
    <w:p>
      <w:pPr>
        <w:pStyle w:val="style0"/>
        <w:widowControl/>
        <w:suppressAutoHyphens w:val="false"/>
        <w:ind w:hanging="0" w:left="-709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тино (сельское поселение) Гусь-Хрустального </w:t>
      </w:r>
    </w:p>
    <w:p>
      <w:pPr>
        <w:pStyle w:val="style0"/>
        <w:widowControl/>
        <w:suppressAutoHyphens w:val="false"/>
        <w:ind w:hanging="0" w:left="-709" w:right="0"/>
        <w:jc w:val="both"/>
        <w:rPr>
          <w:b/>
          <w:sz w:val="28"/>
          <w:szCs w:val="28"/>
        </w:rPr>
      </w:pPr>
      <w:bookmarkStart w:id="0" w:name="__DdeLink__1069_825822170"/>
      <w:bookmarkEnd w:id="0"/>
      <w:r>
        <w:rPr>
          <w:b/>
          <w:sz w:val="28"/>
          <w:szCs w:val="28"/>
        </w:rPr>
        <w:t>района Владимирской области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Уставом муниципального образования посёлок Добрятино (сельское поселение) Гусь-Хрустального района, Совет народных депутатов муниципального образования поселок Добрятино (сельское поселение)  </w:t>
      </w:r>
      <w:r>
        <w:rPr>
          <w:b/>
          <w:bCs/>
          <w:sz w:val="28"/>
          <w:szCs w:val="28"/>
          <w:lang w:val="ru-RU"/>
        </w:rPr>
        <w:t>РЕШИЛ</w:t>
      </w:r>
      <w:r>
        <w:rPr>
          <w:b/>
          <w:sz w:val="28"/>
          <w:szCs w:val="28"/>
        </w:rPr>
        <w:t>: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Порядок планирования приватизации муниципального имущества муниципального образования посёлок Добрятино (сельское поселение) Гусь-Хрустального района (Приложение).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Опубликовать решение в газете «Гусевские Вести», разместить на официальном сайте администрации муниципального образования поселок Добрятино (сельское поселение) Гусь-Хрустального района.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Контроль за исполнением решения возложить на комиссию по бюджетной, налоговой, социальной политике, собственности и земельным отношениям администрации муниципального образования посёлок Добрятино (сельское поселение) Гусь-Хрустального района.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А.Г. Волков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pageBreakBefore/>
        <w:ind w:hanging="0" w:left="5387" w:righ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>
      <w:pPr>
        <w:pStyle w:val="style0"/>
        <w:ind w:hanging="0" w:left="5387" w:right="0"/>
        <w:jc w:val="right"/>
        <w:rPr>
          <w:sz w:val="20"/>
          <w:szCs w:val="20"/>
        </w:rPr>
      </w:pPr>
      <w:r>
        <w:rPr>
          <w:rFonts w:cs="Times New Roman"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народных  депутатов                    </w:t>
      </w:r>
    </w:p>
    <w:p>
      <w:pPr>
        <w:pStyle w:val="style0"/>
        <w:ind w:hanging="0" w:left="5387" w:right="0"/>
        <w:jc w:val="right"/>
        <w:rPr>
          <w:sz w:val="20"/>
          <w:szCs w:val="20"/>
        </w:rPr>
      </w:pPr>
      <w:r>
        <w:rPr>
          <w:rFonts w:cs="Times New Roman"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</w:t>
      </w:r>
      <w:r>
        <w:rPr>
          <w:rFonts w:cs="Times New Roman"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 xml:space="preserve">поселок     Добрятино (сельское  </w:t>
      </w:r>
      <w:r>
        <w:rPr>
          <w:rFonts w:cs="Times New Roman"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>поселение)</w:t>
      </w:r>
    </w:p>
    <w:p>
      <w:pPr>
        <w:pStyle w:val="style0"/>
        <w:ind w:hanging="0" w:left="5387" w:righ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Гусь-Хрустального </w:t>
      </w:r>
      <w:r>
        <w:rPr>
          <w:rFonts w:cs="Times New Roman"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района </w:t>
      </w:r>
    </w:p>
    <w:p>
      <w:pPr>
        <w:pStyle w:val="style0"/>
        <w:ind w:hanging="0" w:left="5387" w:right="0"/>
        <w:jc w:val="right"/>
        <w:rPr>
          <w:rFonts w:cs="Times New Roman" w:eastAsia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Владимирской от</w:t>
      </w:r>
      <w:r>
        <w:rPr>
          <w:rFonts w:cs="Times New Roman" w:eastAsia="Times New Roman"/>
          <w:sz w:val="20"/>
          <w:szCs w:val="20"/>
        </w:rPr>
        <w:t xml:space="preserve">  </w:t>
      </w:r>
      <w:r>
        <w:rPr>
          <w:rFonts w:cs="Times New Roman" w:eastAsia="Times New Roman"/>
          <w:sz w:val="20"/>
          <w:szCs w:val="20"/>
        </w:rPr>
        <w:t>30</w:t>
      </w:r>
      <w:r>
        <w:rPr>
          <w:rFonts w:cs="Times New Roman" w:eastAsia="Times New Roman"/>
          <w:sz w:val="20"/>
          <w:szCs w:val="20"/>
        </w:rPr>
        <w:t>.04.2021 №3</w:t>
      </w:r>
      <w:r>
        <w:rPr>
          <w:rFonts w:cs="Times New Roman" w:eastAsia="Times New Roman"/>
          <w:sz w:val="20"/>
          <w:szCs w:val="20"/>
        </w:rPr>
        <w:t>7</w:t>
      </w:r>
    </w:p>
    <w:p>
      <w:pPr>
        <w:pStyle w:val="style0"/>
        <w:tabs>
          <w:tab w:leader="none" w:pos="4140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4140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148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планирования приватизации</w:t>
      </w:r>
    </w:p>
    <w:p>
      <w:pPr>
        <w:pStyle w:val="style0"/>
        <w:tabs>
          <w:tab w:leader="none" w:pos="148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муниципального образования посёлок Добрятино (сельское поселение) Гусь-Хрустального района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>1.1. Порядок планирования приватизации муниципального имущества муниципального образования посёлок Добрятино (сельское поселение) Гусь-Хрустального района (далее – Порядок) определяет структуру, содержание, порядок и сроки разработки Программы приватизации муниципального имущества муниципального образования посёлок Добрятино (сельское поселение) Гусь-Хрустального района, а также порядок принятия решения об условиях приватизации.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и условия приватизации муниципального имущества устанавливаются в соответствии с Федеральным законом от 21.12.2001 №178-ФЗ «О приватизации государственного и муниципального имущества» (далее – Федеральный закон № 178-ФЗ)».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разработки Программы приватизации муниципального имущества муниципального образования посёлок Добрятино (сельское поселение)</w:t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>Гусь-Хрустального района</w:t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2.1. Разработка проекта Программы приватизации муниципального имущества </w:t>
      </w:r>
      <w:r>
        <w:rPr>
          <w:sz w:val="28"/>
          <w:szCs w:val="28"/>
        </w:rPr>
        <w:t xml:space="preserve">муниципального образования поселок </w:t>
      </w:r>
      <w:r>
        <w:rPr>
          <w:sz w:val="28"/>
          <w:szCs w:val="28"/>
        </w:rPr>
        <w:t xml:space="preserve">Добрятино (сельское поселение) (далее – Программа) осуществляется на очередной финансовый год финансовым отделом администрации </w:t>
      </w:r>
      <w:r>
        <w:rPr>
          <w:sz w:val="28"/>
          <w:szCs w:val="28"/>
        </w:rPr>
        <w:t xml:space="preserve">муниципального образования поселок </w:t>
      </w:r>
      <w:r>
        <w:rPr>
          <w:sz w:val="28"/>
          <w:szCs w:val="28"/>
        </w:rPr>
        <w:t xml:space="preserve">Добрятино (сельское поселение), уполномоченным на осуществление полномочий собственника (далее – Отдел) в отношении муниципального имущества </w:t>
      </w:r>
      <w:r>
        <w:rPr>
          <w:sz w:val="28"/>
          <w:szCs w:val="28"/>
        </w:rPr>
        <w:t xml:space="preserve">муниципального образования поселок </w:t>
      </w:r>
      <w:r>
        <w:rPr>
          <w:sz w:val="28"/>
          <w:szCs w:val="28"/>
        </w:rPr>
        <w:t>Добрятино (сельское поселение) (далее – муниципальное имущество), а также функций по приватизации муниципальной собственности в соответствии с Федеральным законом № 178-ФЗ.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 Программы, контроль за ее выполнением и утверждение отчета о ее выполнении осуществляет Совет народных депутатов муниципального образования посёлок Добрятино (сельского поселение) Гусь-Хрустального района (далее – СНД).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допускается приватизация муниципального имущества, не включенного в Программу, за исключением объектов, приватизация которых осуществляется в порядке, предусмотренном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2.4. Программа состоит из двух разделов: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1) первый раздел Программы содержит цели приватизации муниципального имущества и прогноз объемов поступлений в местный бюджет от продажи муниципального имущества;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2) второй раздел Программы состоит из Перечня муниципального имущества, подлежащего приватизации в очередном финансовом году (далее – Перечень).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составляется по утвержденной форме (Приложение).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2.6. Прогноз начальной цены муниципального имущества рассчитывается по каждому включенному в Перечень объекту.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2.7. При подготовке Программы учитываются предложения о приватизации муниципального имущества структурных подразделений администрации МО п.Добрятино (сельское поселение), предприятий и учреждений муниципального образования, иных юридических и физических лиц, поступившие в Отдел не позднее 01 июля текущего года.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2.8. Отдел разрабатывает проект Программы и не позднее 25 октября  текущего года направляет его главе муниципального образования  поселок Добрятино (сельское поселение) для рассмотрения  на Совете народных депутатов.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2.9. В утвержденную Программу могут вноситься изменения. Проекты решений Совета народных депутатов о внесении соответствующих изменений вносятся главой муниципального образования в течение текущего финансового года. Внесение изменений осуществляется  в соответствии с настоящим Порядком.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принятия решения об условиях приватизации муниципального имущества муниципального образования посёлок Добрятино (сельское поселение)</w:t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3.1. Решение об условиях приватизации муниципального имущества принимается Отделом в соответствии с Программой и Федеральным законом № 178-ФЗ.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решение об условиях приватизации муниципального имущества должны содержаться следующие сведения: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позволяющие его индивидуализировать данные;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имущества в соответствии с Федеральным законом № 178-ФЗ;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имущества;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- обременения, ограничения пользования имуществом (при наличии);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необходимые для приватизации муниципального имущества, предусмотренные Федеральным законом № 178-ФЗ.</w:t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>4. Отчет о выполнении Программы</w:t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4.1. Глава муниципального образования ежегодно, не позднее 01 апреля текущего года, представляет в Совет народных депутатов отчет о выполнении Программы за прошедший финансовый год.</w:t>
      </w:r>
    </w:p>
    <w:p>
      <w:pPr>
        <w:pStyle w:val="style0"/>
        <w:ind w:hanging="0" w:left="-709" w:right="0"/>
        <w:jc w:val="both"/>
        <w:rPr>
          <w:sz w:val="28"/>
          <w:szCs w:val="28"/>
        </w:rPr>
      </w:pPr>
      <w:r>
        <w:rPr>
          <w:sz w:val="28"/>
          <w:szCs w:val="28"/>
        </w:rPr>
        <w:t>4.2. Отчет о выполнении Программы должен содержать перечень муниципального имущества, приватизированного в прошедшем финансовом году, с указанием способа, сроки и цены сделки приватизации, а также перечень муниципального имущества, не приватизированного в отчетном периоде, с указанием причин,  по которым данное имущество не было приватизировано.</w:t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Порядку</w:t>
      </w:r>
    </w:p>
    <w:p>
      <w:pPr>
        <w:pStyle w:val="style0"/>
        <w:ind w:hanging="0" w:left="-709" w:righ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планирования приватизации</w:t>
      </w:r>
    </w:p>
    <w:p>
      <w:pPr>
        <w:pStyle w:val="style0"/>
        <w:ind w:hanging="0" w:left="-709" w:right="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</w:rPr>
        <w:t>униципального имущества</w:t>
      </w:r>
    </w:p>
    <w:p>
      <w:pPr>
        <w:pStyle w:val="style0"/>
        <w:ind w:hanging="0" w:left="-709" w:right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поселок</w:t>
      </w:r>
      <w:r>
        <w:rPr>
          <w:sz w:val="28"/>
          <w:szCs w:val="28"/>
        </w:rPr>
        <w:t xml:space="preserve"> </w:t>
      </w:r>
    </w:p>
    <w:p>
      <w:pPr>
        <w:pStyle w:val="style0"/>
        <w:ind w:hanging="0" w:left="-709" w:righ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Добрятино (сельское поселение) </w:t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-70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муниципального имущества </w:t>
      </w:r>
      <w:r>
        <w:rPr>
          <w:b/>
          <w:sz w:val="28"/>
          <w:szCs w:val="28"/>
        </w:rPr>
        <w:t xml:space="preserve">муниципального образования </w:t>
      </w:r>
    </w:p>
    <w:p>
      <w:pPr>
        <w:pStyle w:val="style0"/>
        <w:ind w:hanging="0" w:left="-70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</w:t>
      </w:r>
      <w:r>
        <w:rPr>
          <w:b/>
          <w:sz w:val="28"/>
          <w:szCs w:val="28"/>
        </w:rPr>
        <w:t>Добрятино (сельское поселение),</w:t>
      </w:r>
    </w:p>
    <w:p>
      <w:pPr>
        <w:pStyle w:val="style0"/>
        <w:ind w:hanging="0" w:left="-70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одлежащего приватизации в _______году</w:t>
      </w:r>
    </w:p>
    <w:p>
      <w:pPr>
        <w:pStyle w:val="style0"/>
        <w:ind w:hanging="0" w:left="-70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7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0534"/>
      </w:tblGrid>
      <w:tr>
        <w:trPr>
          <w:trHeight w:hRule="atLeast" w:val="279"/>
          <w:cantSplit w:val="false"/>
        </w:trPr>
        <w:tc>
          <w:tcPr>
            <w:tcW w:type="dxa" w:w="1053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Нежилые здания (помещения)</w:t>
            </w:r>
          </w:p>
        </w:tc>
      </w:tr>
      <w:tr>
        <w:trPr>
          <w:trHeight w:hRule="atLeast" w:val="1703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п/п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3"/>
              </w:rPr>
            </w:pPr>
            <w:r>
              <w:rPr/>
              <w:t>Наименование</w:t>
            </w:r>
            <w:r>
              <w:rPr>
                <w:rStyle w:val="style23"/>
              </w:rPr>
              <w:footnoteReference w:id="2"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Адрес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Общая площадь нежилых помещений (зданий), кв.м.</w:t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Прогноз начальной цены, тыс.руб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Предполагаемый срок приватизации (квартал)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 xml:space="preserve">Раздел 2 </w:t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7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0534"/>
      </w:tblGrid>
      <w:tr>
        <w:trPr>
          <w:trHeight w:hRule="atLeast" w:val="279"/>
          <w:cantSplit w:val="false"/>
        </w:trPr>
        <w:tc>
          <w:tcPr>
            <w:tcW w:type="dxa" w:w="1053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Муниципальные унитарные предприятия, подлежащие преобразованию в хозяйственные общества</w:t>
            </w:r>
          </w:p>
        </w:tc>
      </w:tr>
      <w:tr>
        <w:trPr>
          <w:trHeight w:hRule="atLeast" w:val="1703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п/п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</w:rPr>
            </w:pPr>
            <w:r>
              <w:rPr/>
              <w:t>Наименование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предприятия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</w:rPr>
            </w:pPr>
            <w:r>
              <w:rPr/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Остаточная стоимость основных средств (зданий, машин, оборудования), тыс.руб.</w:t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Форма хозяйственного общества. Предполагаемые ограничения. Акции, доли, поступающие в муниципальную собственность, %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Предполагаемый срок приватизации (квартал)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ind w:hanging="0" w:left="-709" w:right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>
      <w:pPr>
        <w:pStyle w:val="style0"/>
        <w:ind w:hanging="0" w:left="-709" w:right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7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0534"/>
      </w:tblGrid>
      <w:tr>
        <w:trPr>
          <w:trHeight w:hRule="atLeast" w:val="279"/>
          <w:cantSplit w:val="false"/>
        </w:trPr>
        <w:tc>
          <w:tcPr>
            <w:tcW w:type="dxa" w:w="1053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Хозяйственные общества, акции (доли) в которых подлежат приватизации</w:t>
            </w:r>
          </w:p>
        </w:tc>
      </w:tr>
      <w:tr>
        <w:trPr>
          <w:trHeight w:hRule="atLeast" w:val="1703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п/п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/>
              </w:rPr>
            </w:pPr>
            <w:r>
              <w:rPr/>
              <w:t>Наименование</w:t>
            </w:r>
            <w:r>
              <w:rPr>
                <w:rFonts w:ascii="Arial" w:cs="Arial" w:hAnsi="Arial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общества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/>
              </w:rPr>
            </w:pPr>
            <w:r>
              <w:rPr/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Размер пакета акций (доля уставного капитала) общества, подлежащая приватизации, %</w:t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bookmarkStart w:id="1" w:name="_GoBack"/>
            <w:bookmarkEnd w:id="1"/>
            <w:r>
              <w:rPr/>
              <w:t>Прогноз начальной цены (номинальная стоимость приватизируемого имущества), тыс.руб.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Предполагаемый срок приватизации (квартал)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3.</w:t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tabs>
          <w:tab w:leader="none" w:pos="2295" w:val="left"/>
        </w:tabs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footnotePr>
        <w:numFmt w:val="decimal"/>
      </w:footnotePr>
      <w:type w:val="nextPage"/>
      <w:pgSz w:h="16838" w:w="11906"/>
      <w:pgMar w:bottom="1560" w:footer="1134" w:gutter="0" w:header="0" w:left="1701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</w:r>
  </w:p>
  <w:p>
    <w:pPr>
      <w:pStyle w:val="style33"/>
      <w:rPr/>
    </w:pPr>
    <w:r>
      <w:rPr/>
    </w:r>
  </w:p>
  <w:p>
    <w:pPr>
      <w:pStyle w:val="style33"/>
      <w:rPr/>
    </w:pPr>
    <w:r>
      <w:rPr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5"/>
        <w:rPr/>
      </w:pPr>
      <w:r>
        <w:rPr>
          <w:rStyle w:val="style22"/>
        </w:rPr>
        <w:footnoteRef/>
        <w:tab/>
      </w:r>
      <w:r>
        <w:rPr>
          <w:rStyle w:val="style22"/>
        </w:rPr>
        <w:tab/>
        <w:tab/>
      </w:r>
      <w:r>
        <w:rPr/>
        <w:t xml:space="preserve"> Наименование зданий (помещений), адрес указываются в соответствии с выписками из реестра муниципального имущества МО п.Добрятино (сельское поселение)</w:t>
      </w:r>
    </w:p>
    <w:p>
      <w:pPr>
        <w:pStyle w:val="style36"/>
        <w:rPr/>
      </w:pPr>
      <w:r>
        <w:rPr/>
      </w:r>
    </w:p>
    <w:p>
      <w:pPr>
        <w:pStyle w:val="style36"/>
        <w:rPr/>
      </w:pPr>
      <w:r>
        <w:rPr/>
      </w:r>
    </w:p>
    <w:p>
      <w:pPr>
        <w:pStyle w:val="style36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" w:type="paragraph">
    <w:name w:val="Заголовок 3"/>
    <w:basedOn w:val="style0"/>
    <w:next w:val="style3"/>
    <w:pPr>
      <w:widowControl/>
      <w:suppressAutoHyphens w:val="false"/>
      <w:spacing w:after="280" w:before="280"/>
      <w:contextualSpacing w:val="false"/>
    </w:pPr>
    <w:rPr>
      <w:rFonts w:cs="Times New Roman" w:eastAsia="Times New Roman"/>
      <w:b/>
      <w:bCs/>
      <w:sz w:val="27"/>
      <w:szCs w:val="27"/>
      <w:lang w:bidi="ar-SA" w:eastAsia="ru-RU"/>
    </w:rPr>
  </w:style>
  <w:style w:styleId="style4" w:type="paragraph">
    <w:name w:val="Заголовок 4"/>
    <w:basedOn w:val="style0"/>
    <w:next w:val="style4"/>
    <w:pPr>
      <w:widowControl/>
      <w:suppressAutoHyphens w:val="false"/>
      <w:spacing w:after="280" w:before="280"/>
      <w:contextualSpacing w:val="false"/>
    </w:pPr>
    <w:rPr>
      <w:rFonts w:cs="Times New Roman" w:eastAsia="Times New Roman"/>
      <w:b/>
      <w:bCs/>
      <w:lang w:bidi="ar-SA"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Верхний колонтитул Знак"/>
    <w:basedOn w:val="style15"/>
    <w:next w:val="style18"/>
    <w:rPr>
      <w:rFonts w:ascii="Times New Roman" w:cs="Mangal" w:eastAsia="SimSun" w:hAnsi="Times New Roman"/>
      <w:sz w:val="24"/>
      <w:szCs w:val="21"/>
      <w:lang w:bidi="hi-IN" w:eastAsia="zh-CN"/>
    </w:rPr>
  </w:style>
  <w:style w:styleId="style19" w:type="character">
    <w:name w:val="Нижний колонтитул Знак"/>
    <w:basedOn w:val="style15"/>
    <w:next w:val="style19"/>
    <w:rPr>
      <w:rFonts w:ascii="Times New Roman" w:cs="Mangal" w:eastAsia="SimSun" w:hAnsi="Times New Roman"/>
      <w:sz w:val="24"/>
      <w:szCs w:val="21"/>
      <w:lang w:bidi="hi-IN" w:eastAsia="zh-CN"/>
    </w:rPr>
  </w:style>
  <w:style w:styleId="style20" w:type="character">
    <w:name w:val="Текст выноски Знак"/>
    <w:basedOn w:val="style15"/>
    <w:next w:val="style20"/>
    <w:rPr>
      <w:rFonts w:ascii="Tahoma" w:cs="Mangal" w:eastAsia="SimSun" w:hAnsi="Tahoma"/>
      <w:sz w:val="16"/>
      <w:szCs w:val="14"/>
      <w:lang w:bidi="hi-IN" w:eastAsia="zh-CN"/>
    </w:rPr>
  </w:style>
  <w:style w:styleId="style21" w:type="character">
    <w:name w:val="Текст сноски Знак"/>
    <w:basedOn w:val="style15"/>
    <w:next w:val="style21"/>
    <w:rPr>
      <w:rFonts w:ascii="Times New Roman" w:cs="Mangal" w:eastAsia="SimSun" w:hAnsi="Times New Roman"/>
      <w:sz w:val="20"/>
      <w:szCs w:val="18"/>
      <w:lang w:bidi="hi-IN" w:eastAsia="zh-CN"/>
    </w:rPr>
  </w:style>
  <w:style w:styleId="style22" w:type="character">
    <w:name w:val="footnote reference"/>
    <w:basedOn w:val="style15"/>
    <w:next w:val="style22"/>
    <w:rPr>
      <w:vertAlign w:val="superscript"/>
    </w:rPr>
  </w:style>
  <w:style w:styleId="style23" w:type="character">
    <w:name w:val="Привязка сноски"/>
    <w:next w:val="style23"/>
    <w:rPr>
      <w:vertAlign w:val="superscript"/>
    </w:rPr>
  </w:style>
  <w:style w:styleId="style24" w:type="character">
    <w:name w:val="Привязка концевой сноски"/>
    <w:next w:val="style24"/>
    <w:rPr>
      <w:vertAlign w:val="superscript"/>
    </w:rPr>
  </w:style>
  <w:style w:styleId="style25" w:type="character">
    <w:name w:val="Символ сноски"/>
    <w:next w:val="style25"/>
    <w:rPr/>
  </w:style>
  <w:style w:styleId="style26" w:type="character">
    <w:name w:val="Символы концевой сноски"/>
    <w:next w:val="style26"/>
    <w:rPr/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>
      <w:szCs w:val="21"/>
    </w:rPr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>
      <w:szCs w:val="21"/>
    </w:rPr>
  </w:style>
  <w:style w:styleId="style34" w:type="paragraph">
    <w:name w:val="Balloon Text"/>
    <w:basedOn w:val="style0"/>
    <w:next w:val="style34"/>
    <w:pPr/>
    <w:rPr>
      <w:rFonts w:ascii="Tahoma" w:hAnsi="Tahoma"/>
      <w:sz w:val="16"/>
      <w:szCs w:val="14"/>
    </w:rPr>
  </w:style>
  <w:style w:styleId="style35" w:type="paragraph">
    <w:name w:val="footnote text"/>
    <w:basedOn w:val="style0"/>
    <w:next w:val="style35"/>
    <w:pPr/>
    <w:rPr>
      <w:sz w:val="20"/>
      <w:szCs w:val="18"/>
    </w:rPr>
  </w:style>
  <w:style w:styleId="style36" w:type="paragraph">
    <w:name w:val="Сноска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2020-07-28T07:55:00Z</dcterms:created>
  <dc:creator>Пользователь</dc:creator>
  <cp:lastModifiedBy>Пользователь</cp:lastModifiedBy>
  <cp:lastPrinted>2021-04-30T14:22:33Z</cp:lastPrinted>
  <dcterms:modified xsi:type="dcterms:W3CDTF">2020-07-28T12:28:00Z</dcterms:modified>
  <cp:revision>2</cp:revision>
</cp:coreProperties>
</file>